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B0" w:rsidRDefault="007D59F2" w:rsidP="00CC70B0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                                                                            </w:t>
      </w:r>
      <w:r w:rsidR="00E57145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 </w:t>
      </w:r>
    </w:p>
    <w:p w:rsidR="00CC70B0" w:rsidRDefault="00CC70B0" w:rsidP="00CC70B0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CC70B0" w:rsidRDefault="00CC70B0" w:rsidP="00CC70B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lang w:val="x-none" w:eastAsia="x-none"/>
        </w:rPr>
      </w:pPr>
      <w:r w:rsidRPr="00CC70B0"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lang w:val="x-none" w:eastAsia="x-none"/>
        </w:rPr>
        <w:t>РАЗДЕЛ IV. Техническое задание</w:t>
      </w:r>
    </w:p>
    <w:p w:rsidR="00D345BA" w:rsidRDefault="00D345BA" w:rsidP="00CC70B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lang w:val="x-none" w:eastAsia="x-none"/>
        </w:rPr>
      </w:pPr>
    </w:p>
    <w:tbl>
      <w:tblPr>
        <w:tblW w:w="15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401"/>
        <w:gridCol w:w="1748"/>
        <w:gridCol w:w="6029"/>
        <w:gridCol w:w="943"/>
        <w:gridCol w:w="1885"/>
        <w:gridCol w:w="1887"/>
      </w:tblGrid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  <w:vMerge w:val="restart"/>
            <w:hideMark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7E5182">
              <w:rPr>
                <w:rFonts w:ascii="Times New Roman" w:eastAsia="MS Mincho" w:hAnsi="Times New Roman" w:cs="Times New Roman"/>
                <w:b/>
                <w:bCs/>
              </w:rPr>
              <w:t>№ п/п</w:t>
            </w:r>
          </w:p>
        </w:tc>
        <w:tc>
          <w:tcPr>
            <w:tcW w:w="2401" w:type="dxa"/>
            <w:vMerge w:val="restart"/>
            <w:vAlign w:val="center"/>
            <w:hideMark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7E5182">
              <w:rPr>
                <w:rFonts w:ascii="Times New Roman" w:eastAsia="MS Mincho" w:hAnsi="Times New Roman" w:cs="Times New Roman"/>
                <w:b/>
                <w:bCs/>
              </w:rPr>
              <w:t>Серийный (заводской) номер, марка, модель и т.п.</w:t>
            </w:r>
          </w:p>
        </w:tc>
        <w:tc>
          <w:tcPr>
            <w:tcW w:w="1748" w:type="dxa"/>
            <w:vMerge w:val="restart"/>
            <w:vAlign w:val="center"/>
            <w:hideMark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7E5182">
              <w:rPr>
                <w:rFonts w:ascii="Times New Roman" w:eastAsia="MS Mincho" w:hAnsi="Times New Roman" w:cs="Times New Roman"/>
                <w:b/>
                <w:bCs/>
              </w:rPr>
              <w:t>Производитель</w:t>
            </w:r>
          </w:p>
        </w:tc>
        <w:tc>
          <w:tcPr>
            <w:tcW w:w="6029" w:type="dxa"/>
            <w:vMerge w:val="restart"/>
            <w:vAlign w:val="center"/>
            <w:hideMark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7E5182">
              <w:rPr>
                <w:rFonts w:ascii="Times New Roman" w:eastAsia="MS Mincho" w:hAnsi="Times New Roman" w:cs="Times New Roman"/>
                <w:b/>
                <w:bCs/>
              </w:rPr>
              <w:t>Наименование (описание) Товара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7E5182">
              <w:rPr>
                <w:rFonts w:ascii="Times New Roman" w:eastAsia="MS Mincho" w:hAnsi="Times New Roman" w:cs="Times New Roman"/>
                <w:b/>
                <w:bCs/>
              </w:rPr>
              <w:t xml:space="preserve">Ед. </w:t>
            </w:r>
            <w:proofErr w:type="spellStart"/>
            <w:r w:rsidRPr="007E5182">
              <w:rPr>
                <w:rFonts w:ascii="Times New Roman" w:eastAsia="MS Mincho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885" w:type="dxa"/>
            <w:vMerge w:val="restart"/>
            <w:vAlign w:val="center"/>
            <w:hideMark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7E5182">
              <w:rPr>
                <w:rFonts w:ascii="Times New Roman" w:eastAsia="MS Mincho" w:hAnsi="Times New Roman" w:cs="Times New Roman"/>
                <w:b/>
                <w:bCs/>
              </w:rPr>
              <w:t>Предельная Цена за единицу Товара без учёта НДС (указывается в рублях РФ)</w:t>
            </w:r>
          </w:p>
        </w:tc>
        <w:tc>
          <w:tcPr>
            <w:tcW w:w="1887" w:type="dxa"/>
            <w:vMerge w:val="restart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7E5182">
              <w:rPr>
                <w:rFonts w:ascii="Times New Roman" w:eastAsia="MS Mincho" w:hAnsi="Times New Roman" w:cs="Times New Roman"/>
                <w:b/>
                <w:bCs/>
              </w:rPr>
              <w:t>Предельная цена за единицу Товара в том числе НДС (по ставке</w:t>
            </w:r>
            <w:r w:rsidRPr="007E5182">
              <w:rPr>
                <w:rFonts w:ascii="Times New Roman" w:hAnsi="Times New Roman" w:cs="Times New Roman"/>
                <w:b/>
              </w:rPr>
              <w:t>18 %),</w:t>
            </w:r>
            <w:r w:rsidRPr="007E5182">
              <w:rPr>
                <w:rFonts w:ascii="Times New Roman" w:hAnsi="Times New Roman" w:cs="Times New Roman"/>
              </w:rPr>
              <w:t xml:space="preserve"> </w:t>
            </w:r>
            <w:r w:rsidRPr="007E5182">
              <w:rPr>
                <w:rFonts w:ascii="Times New Roman" w:eastAsia="MS Mincho" w:hAnsi="Times New Roman" w:cs="Times New Roman"/>
                <w:b/>
                <w:bCs/>
              </w:rPr>
              <w:t>(указывается в рублях РФ)</w:t>
            </w: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  <w:vMerge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2401" w:type="dxa"/>
            <w:vMerge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748" w:type="dxa"/>
            <w:vMerge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6029" w:type="dxa"/>
            <w:vMerge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943" w:type="dxa"/>
            <w:vMerge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885" w:type="dxa"/>
            <w:vMerge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887" w:type="dxa"/>
            <w:vMerge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  <w:hideMark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1</w:t>
            </w: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1" w:type="dxa"/>
            <w:shd w:val="clear" w:color="auto" w:fill="auto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Цемент М 400 50кг</w:t>
            </w:r>
          </w:p>
        </w:tc>
        <w:tc>
          <w:tcPr>
            <w:tcW w:w="1748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029" w:type="dxa"/>
            <w:shd w:val="clear" w:color="auto" w:fill="auto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Цемент представляет собой   композицию химических элементов в твёрдом агрегатном состоянии, Плотность. Зависит от состояния цемента, — разрыхлённый состав обладает плотностью около 1000…1200 кг/м³; уплотнённый, «слежавшийся» порошок имеет 1500…1700 кг/м³ относительного веса. Скорость схватывания. Параметры определяются при нормальных климатических условиях с температурным диапазоном 18…22°C. Устойчивый процесс схватывания начинается после двух часов с момента разведения цемента водой и длится 2-4 часа. Прочность 95-98%. Морозостойкость. Рабочий диапазон температур -60°+300°C.Водостойкость, цемент марки М-400 применяют в гражданском и промышленном строительстве, Поставка цемента М 400 в мешках по 50 кг.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251,93</w:t>
            </w:r>
          </w:p>
        </w:tc>
        <w:tc>
          <w:tcPr>
            <w:tcW w:w="1887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297,28</w:t>
            </w: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2</w:t>
            </w: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1" w:type="dxa"/>
            <w:shd w:val="clear" w:color="auto" w:fill="auto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</w:rPr>
            </w:pPr>
            <w:r w:rsidRPr="007E5182">
              <w:rPr>
                <w:rFonts w:ascii="Times New Roman" w:hAnsi="Times New Roman" w:cs="Times New Roman"/>
              </w:rPr>
              <w:t>ПГС в мешках 50кг</w:t>
            </w:r>
          </w:p>
        </w:tc>
        <w:tc>
          <w:tcPr>
            <w:tcW w:w="1748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029" w:type="dxa"/>
            <w:shd w:val="clear" w:color="auto" w:fill="auto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Природная гравийно-песчаная смесь используется в дорожном строительстве в качестве верхнего слоя или дренажа. Также ее применяют для выравнивания территории, засыпки котлованов и траншей, при прокладке и ремонте коммуникаций. Состав (ПГС) может содержать максимум 35 % гравия и 50 % песка. Поставка ПГС в мешках по 50 кг.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86,3</w:t>
            </w:r>
          </w:p>
        </w:tc>
        <w:tc>
          <w:tcPr>
            <w:tcW w:w="1887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101,83</w:t>
            </w: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 xml:space="preserve">3. </w:t>
            </w:r>
          </w:p>
        </w:tc>
        <w:tc>
          <w:tcPr>
            <w:tcW w:w="2401" w:type="dxa"/>
            <w:shd w:val="clear" w:color="auto" w:fill="auto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Асфальт холодный мешок</w:t>
            </w:r>
          </w:p>
        </w:tc>
        <w:tc>
          <w:tcPr>
            <w:tcW w:w="1748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029" w:type="dxa"/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Холодный асфальт – битумоминеральная   холодная смесь. Применяется   для проведения ямочного ремонта, а также для приведения в порядок дорожного полотна в любую погоду после прокладки инженерных коммуникаций.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291,25</w:t>
            </w:r>
          </w:p>
        </w:tc>
        <w:tc>
          <w:tcPr>
            <w:tcW w:w="1887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343,68</w:t>
            </w: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Кирпич керамический полнотелый, одинарный М125</w:t>
            </w:r>
          </w:p>
        </w:tc>
        <w:tc>
          <w:tcPr>
            <w:tcW w:w="1748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029" w:type="dxa"/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Кирпич М 125 полнотелый используется для возведения жилых зданий, промышленных и административных строений, колонн, гаражей, надворных и хозяйственных построек, складских помещений. Преимуществом является возможность эксплуатации материала в различных климатических условиях. Изделие обладает грубой шероховатой поверхностью, Технические характеристики кирпича М 125 полнотелого, соответствуют ГОСТ 530-2007, и имеют следующие значения: размеры кирпича М 125 – 250х120х65 мм; прочность на изгиб и сжатие — 1,4-1,6 Мпа; вес кирпича М 125 – 3,4-3,5 кг; </w:t>
            </w: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водопоглащение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– от 6% до 8% морозостойкость – от F50 до F75; теплопроводность – 0,513 Вт/м 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11,88</w:t>
            </w:r>
          </w:p>
        </w:tc>
        <w:tc>
          <w:tcPr>
            <w:tcW w:w="1887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14,02</w:t>
            </w: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2401" w:type="dxa"/>
            <w:shd w:val="clear" w:color="auto" w:fill="auto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Гипс строительный (алебастр) (тара 5кг)</w:t>
            </w:r>
          </w:p>
        </w:tc>
        <w:tc>
          <w:tcPr>
            <w:tcW w:w="1748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029" w:type="dxa"/>
            <w:shd w:val="clear" w:color="auto" w:fill="auto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Материал входит в число основных компонентов для изготовления большинства распространенных строительных смесей: шпатлевок, наливных полов, </w:t>
            </w:r>
            <w:proofErr w:type="gramStart"/>
            <w:r w:rsidRPr="007E5182">
              <w:rPr>
                <w:rFonts w:ascii="Times New Roman" w:hAnsi="Times New Roman" w:cs="Times New Roman"/>
                <w:color w:val="000000"/>
              </w:rPr>
              <w:t>штукатурки .</w:t>
            </w:r>
            <w:proofErr w:type="gramEnd"/>
            <w:r w:rsidRPr="007E5182">
              <w:rPr>
                <w:rFonts w:ascii="Times New Roman" w:hAnsi="Times New Roman" w:cs="Times New Roman"/>
                <w:color w:val="000000"/>
              </w:rPr>
              <w:t xml:space="preserve"> Свойства гипса: Отличается плотной мелкозернистой структурой. Быстро схватывается и затвердевает. На приобретение плотной консистенции после закладки смеси уходит порядка пяти минут. Полностью схватывается материал примерно через полчаса. Выдерживает влияния высочайших температур. Без разрушительных последствий гипс можно нагревать до 600-700 </w:t>
            </w: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оС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>. При контакте с открытым пламенем деструктивные проявления становятся видны лишь после 6-7 часов. Упаковка 5 кг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  55,0</w:t>
            </w:r>
          </w:p>
        </w:tc>
        <w:tc>
          <w:tcPr>
            <w:tcW w:w="1887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64,90</w:t>
            </w: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Известь паста (тара 3 кг)</w:t>
            </w:r>
          </w:p>
        </w:tc>
        <w:tc>
          <w:tcPr>
            <w:tcW w:w="1748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 Паста известковая для наружных и внутренних работ соответствует ТУ 48-0303-07-86. Применяется в строительстве как добавка, увеличивающая пластичность и прочность цементных растворов, для побелки в помещениях промышленного и сельскохозяйственного назначения.   Известь паста (тара 3 кг)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              35,0 </w:t>
            </w:r>
          </w:p>
        </w:tc>
        <w:tc>
          <w:tcPr>
            <w:tcW w:w="1887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41,30</w:t>
            </w: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Клей </w:t>
            </w: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Плитонит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(тара 25кг)</w:t>
            </w:r>
          </w:p>
        </w:tc>
        <w:tc>
          <w:tcPr>
            <w:tcW w:w="1748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 Предназначен для приклеивания всех типов облицовочной керамической, плитки, искусственного камня на поверхности стен и полов из бетона, и гипсовых штукатурок при проведении внутренних и наружных работ   Клей </w:t>
            </w: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Плитонит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(тара 25кг)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              302,50 </w:t>
            </w:r>
          </w:p>
        </w:tc>
        <w:tc>
          <w:tcPr>
            <w:tcW w:w="1887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356,95</w:t>
            </w:r>
          </w:p>
        </w:tc>
      </w:tr>
      <w:tr w:rsidR="00D345BA" w:rsidRPr="00D017FD" w:rsidTr="007E5182">
        <w:trPr>
          <w:cantSplit/>
          <w:trHeight w:val="567"/>
          <w:jc w:val="center"/>
        </w:trPr>
        <w:tc>
          <w:tcPr>
            <w:tcW w:w="566" w:type="dxa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Шпатлевка финишная полимерная </w:t>
            </w: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Ветонит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LR (тара 25кг)</w:t>
            </w:r>
          </w:p>
        </w:tc>
        <w:tc>
          <w:tcPr>
            <w:tcW w:w="1748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>Финишная шпаклевка на полимерном связующем для отделки стен и потолков в сухих помещениях.            Предназначена для выравнивания стен, и потолков внутри сухих помеще</w:t>
            </w:r>
            <w:r w:rsidRPr="007E5182">
              <w:rPr>
                <w:rFonts w:ascii="Times New Roman" w:hAnsi="Times New Roman" w:cs="Times New Roman"/>
                <w:color w:val="000000"/>
              </w:rPr>
              <w:softHyphen/>
              <w:t>ниях перед: наклейкой обоев; покраской. Цвет - белый, связующее - полимерный клей Водостойкость - не водостойкая, заполнитель - известняк, максимальная фракция, мм 0,3</w:t>
            </w:r>
            <w:r w:rsidRPr="007E5182">
              <w:rPr>
                <w:rFonts w:ascii="Times New Roman" w:hAnsi="Times New Roman" w:cs="Times New Roman"/>
                <w:color w:val="000000"/>
              </w:rPr>
              <w:br/>
              <w:t xml:space="preserve">Шпатлевка финишная полимерная </w:t>
            </w: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Ветонит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LR (тара 25кг)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1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7E51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BA" w:rsidRPr="007E5182" w:rsidRDefault="00D345BA" w:rsidP="00495DFF">
            <w:pPr>
              <w:rPr>
                <w:rFonts w:ascii="Times New Roman" w:hAnsi="Times New Roman" w:cs="Times New Roman"/>
                <w:color w:val="000000"/>
              </w:rPr>
            </w:pPr>
            <w:r w:rsidRPr="007E5182">
              <w:rPr>
                <w:rFonts w:ascii="Times New Roman" w:hAnsi="Times New Roman" w:cs="Times New Roman"/>
                <w:color w:val="000000"/>
              </w:rPr>
              <w:t xml:space="preserve">               473,50 </w:t>
            </w:r>
          </w:p>
        </w:tc>
        <w:tc>
          <w:tcPr>
            <w:tcW w:w="1887" w:type="dxa"/>
            <w:vAlign w:val="center"/>
          </w:tcPr>
          <w:p w:rsidR="00D345BA" w:rsidRPr="007E5182" w:rsidRDefault="00D345BA" w:rsidP="00495DF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E5182">
              <w:rPr>
                <w:rFonts w:ascii="Times New Roman" w:eastAsia="MS Mincho" w:hAnsi="Times New Roman" w:cs="Times New Roman"/>
              </w:rPr>
              <w:t>558,73</w:t>
            </w:r>
          </w:p>
        </w:tc>
      </w:tr>
    </w:tbl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11482"/>
      </w:tblGrid>
      <w:tr w:rsidR="007E5182" w:rsidRPr="008D0189" w:rsidTr="007E5182">
        <w:trPr>
          <w:trHeight w:val="453"/>
        </w:trPr>
        <w:tc>
          <w:tcPr>
            <w:tcW w:w="15452" w:type="dxa"/>
            <w:gridSpan w:val="2"/>
            <w:noWrap/>
          </w:tcPr>
          <w:p w:rsidR="007E5182" w:rsidRPr="008D0189" w:rsidRDefault="007E5182" w:rsidP="00495DFF">
            <w:pPr>
              <w:spacing w:line="240" w:lineRule="auto"/>
              <w:ind w:left="36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E5182" w:rsidRPr="008D0189" w:rsidTr="007E5182">
        <w:trPr>
          <w:trHeight w:val="453"/>
        </w:trPr>
        <w:tc>
          <w:tcPr>
            <w:tcW w:w="15452" w:type="dxa"/>
            <w:gridSpan w:val="2"/>
            <w:noWrap/>
          </w:tcPr>
          <w:p w:rsidR="007E5182" w:rsidRPr="008D0189" w:rsidRDefault="007E5182" w:rsidP="00465026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 xml:space="preserve">Предельная сумма лота составляет: </w:t>
            </w:r>
            <w:r>
              <w:rPr>
                <w:rFonts w:ascii="Times New Roman" w:eastAsia="Calibri" w:hAnsi="Times New Roman" w:cs="Times New Roman"/>
                <w:lang w:eastAsia="ru-RU"/>
              </w:rPr>
              <w:t>1 18</w:t>
            </w:r>
            <w:r w:rsidRPr="008D0189">
              <w:rPr>
                <w:rFonts w:ascii="Times New Roman" w:eastAsia="Calibri" w:hAnsi="Times New Roman" w:cs="Times New Roman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D0189">
              <w:rPr>
                <w:rFonts w:ascii="Times New Roman" w:eastAsia="Calibri" w:hAnsi="Times New Roman" w:cs="Times New Roman"/>
                <w:lang w:eastAsia="ru-RU"/>
              </w:rPr>
              <w:t>000,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8D0189">
              <w:rPr>
                <w:rFonts w:ascii="Times New Roman" w:eastAsia="Calibri" w:hAnsi="Times New Roman" w:cs="Times New Roman"/>
                <w:lang w:eastAsia="ru-RU"/>
              </w:rPr>
              <w:t xml:space="preserve">0 руб. с НДС  </w:t>
            </w:r>
          </w:p>
        </w:tc>
      </w:tr>
      <w:tr w:rsidR="007E5182" w:rsidRPr="008D0189" w:rsidTr="007E5182">
        <w:trPr>
          <w:trHeight w:val="555"/>
        </w:trPr>
        <w:tc>
          <w:tcPr>
            <w:tcW w:w="3970" w:type="dxa"/>
            <w:noWrap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Требуемые сроки поставки:</w:t>
            </w:r>
          </w:p>
        </w:tc>
        <w:tc>
          <w:tcPr>
            <w:tcW w:w="11482" w:type="dxa"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CC70B0">
              <w:rPr>
                <w:rFonts w:ascii="Times New Roman" w:eastAsia="Calibri" w:hAnsi="Times New Roman" w:cs="Times New Roman"/>
                <w:lang w:eastAsia="ru-RU"/>
              </w:rPr>
              <w:t>Срок поставки товара устанавливается в согласованном Сторонами Заказе, но не может превышать 30 (тридцать) календарных дней с даты подписания сторонами Заказа</w:t>
            </w:r>
          </w:p>
        </w:tc>
      </w:tr>
      <w:tr w:rsidR="007E5182" w:rsidRPr="008D0189" w:rsidTr="007E5182">
        <w:trPr>
          <w:trHeight w:val="946"/>
        </w:trPr>
        <w:tc>
          <w:tcPr>
            <w:tcW w:w="3970" w:type="dxa"/>
            <w:noWrap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Условия доставки</w:t>
            </w:r>
          </w:p>
        </w:tc>
        <w:tc>
          <w:tcPr>
            <w:tcW w:w="11482" w:type="dxa"/>
            <w:hideMark/>
          </w:tcPr>
          <w:p w:rsidR="007E5182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 xml:space="preserve">Доставка товара должна быть осуществлена до склада ПАО "Башинформсвязь" по адресу г. Уфа, ул. Каспийская,14. </w:t>
            </w:r>
          </w:p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Минимальная стоимость парт</w:t>
            </w:r>
            <w:bookmarkStart w:id="0" w:name="_GoBack"/>
            <w:bookmarkEnd w:id="0"/>
            <w:r w:rsidRPr="008D0189">
              <w:rPr>
                <w:rFonts w:ascii="Times New Roman" w:eastAsia="Calibri" w:hAnsi="Times New Roman" w:cs="Times New Roman"/>
                <w:lang w:eastAsia="ru-RU"/>
              </w:rPr>
              <w:t xml:space="preserve">ии товара по заказу составляет 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00 000,00 </w:t>
            </w:r>
            <w:r w:rsidRPr="008D0189">
              <w:rPr>
                <w:rFonts w:ascii="Times New Roman" w:eastAsia="Calibri" w:hAnsi="Times New Roman" w:cs="Times New Roman"/>
                <w:lang w:eastAsia="ru-RU"/>
              </w:rPr>
              <w:t>рублей с учетом НДС.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7E5182" w:rsidRPr="008D0189" w:rsidTr="007E5182">
        <w:trPr>
          <w:trHeight w:val="465"/>
        </w:trPr>
        <w:tc>
          <w:tcPr>
            <w:tcW w:w="3970" w:type="dxa"/>
            <w:noWrap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Транспортировка товара:</w:t>
            </w:r>
          </w:p>
        </w:tc>
        <w:tc>
          <w:tcPr>
            <w:tcW w:w="11482" w:type="dxa"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Транспортировка товара осуществляется автомобильным транспортом за счет Поставщика.</w:t>
            </w:r>
          </w:p>
        </w:tc>
      </w:tr>
      <w:tr w:rsidR="007E5182" w:rsidRPr="008D0189" w:rsidTr="007E5182">
        <w:trPr>
          <w:trHeight w:val="255"/>
        </w:trPr>
        <w:tc>
          <w:tcPr>
            <w:tcW w:w="3970" w:type="dxa"/>
            <w:noWrap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Гарантийные обязательства</w:t>
            </w:r>
          </w:p>
        </w:tc>
        <w:tc>
          <w:tcPr>
            <w:tcW w:w="11482" w:type="dxa"/>
            <w:noWrap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не менее 12 месяцев </w:t>
            </w:r>
          </w:p>
        </w:tc>
      </w:tr>
      <w:tr w:rsidR="007E5182" w:rsidRPr="008D0189" w:rsidTr="007E5182">
        <w:trPr>
          <w:trHeight w:val="555"/>
        </w:trPr>
        <w:tc>
          <w:tcPr>
            <w:tcW w:w="3970" w:type="dxa"/>
            <w:noWrap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Особые условия</w:t>
            </w:r>
          </w:p>
        </w:tc>
        <w:tc>
          <w:tcPr>
            <w:tcW w:w="11482" w:type="dxa"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паспорт;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D0189">
              <w:rPr>
                <w:rFonts w:ascii="Times New Roman" w:eastAsia="Calibri" w:hAnsi="Times New Roman" w:cs="Times New Roman"/>
                <w:lang w:eastAsia="ru-RU"/>
              </w:rPr>
              <w:t>техническое описание поставляемого товара,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D0189">
              <w:rPr>
                <w:rFonts w:ascii="Times New Roman" w:eastAsia="Calibri" w:hAnsi="Times New Roman" w:cs="Times New Roman"/>
                <w:lang w:eastAsia="ru-RU"/>
              </w:rPr>
              <w:t>инструкция на русском языке,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D0189">
              <w:rPr>
                <w:rFonts w:ascii="Times New Roman" w:eastAsia="Calibri" w:hAnsi="Times New Roman" w:cs="Times New Roman"/>
                <w:lang w:eastAsia="ru-RU"/>
              </w:rPr>
              <w:t>сертификат соответствия стандартам</w:t>
            </w:r>
          </w:p>
        </w:tc>
      </w:tr>
      <w:tr w:rsidR="007E5182" w:rsidRPr="008D0189" w:rsidTr="007E5182">
        <w:trPr>
          <w:trHeight w:val="255"/>
        </w:trPr>
        <w:tc>
          <w:tcPr>
            <w:tcW w:w="3970" w:type="dxa"/>
            <w:noWrap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>Контактное лицо по тех. Вопросам</w:t>
            </w:r>
          </w:p>
        </w:tc>
        <w:tc>
          <w:tcPr>
            <w:tcW w:w="11482" w:type="dxa"/>
            <w:noWrap/>
            <w:hideMark/>
          </w:tcPr>
          <w:p w:rsidR="007E5182" w:rsidRPr="008D0189" w:rsidRDefault="007E5182" w:rsidP="00465026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8D0189">
              <w:rPr>
                <w:rFonts w:ascii="Times New Roman" w:eastAsia="Calibri" w:hAnsi="Times New Roman" w:cs="Times New Roman"/>
                <w:lang w:eastAsia="ru-RU"/>
              </w:rPr>
              <w:t xml:space="preserve"> Карелин Геннадий Константинович, тел +7 (347) 221 - 53-46, эл Почта g.karelin@bashtel.ru</w:t>
            </w:r>
          </w:p>
        </w:tc>
      </w:tr>
    </w:tbl>
    <w:p w:rsidR="00D345BA" w:rsidRPr="007E5182" w:rsidRDefault="00D345BA" w:rsidP="00CC70B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17365D"/>
          <w:kern w:val="32"/>
          <w:sz w:val="28"/>
          <w:szCs w:val="24"/>
          <w:lang w:eastAsia="x-none"/>
        </w:rPr>
      </w:pPr>
    </w:p>
    <w:p w:rsidR="00D31557" w:rsidRPr="00BE7B9A" w:rsidRDefault="00D31557" w:rsidP="008D018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sectPr w:rsidR="00D31557" w:rsidRPr="00BE7B9A" w:rsidSect="00DE7083">
      <w:pgSz w:w="16838" w:h="11906" w:orient="landscape"/>
      <w:pgMar w:top="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46C62"/>
    <w:multiLevelType w:val="multilevel"/>
    <w:tmpl w:val="079C2E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74311CD"/>
    <w:multiLevelType w:val="hybridMultilevel"/>
    <w:tmpl w:val="2B14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57"/>
    <w:rsid w:val="000578C8"/>
    <w:rsid w:val="000D427E"/>
    <w:rsid w:val="000D6112"/>
    <w:rsid w:val="00106254"/>
    <w:rsid w:val="00107A97"/>
    <w:rsid w:val="00110A46"/>
    <w:rsid w:val="00126875"/>
    <w:rsid w:val="0014381A"/>
    <w:rsid w:val="001847C2"/>
    <w:rsid w:val="001C1DED"/>
    <w:rsid w:val="001D66C4"/>
    <w:rsid w:val="001E2C13"/>
    <w:rsid w:val="0021402A"/>
    <w:rsid w:val="0029659A"/>
    <w:rsid w:val="002A7FE8"/>
    <w:rsid w:val="002E7B0E"/>
    <w:rsid w:val="0037096C"/>
    <w:rsid w:val="003F0B89"/>
    <w:rsid w:val="00465026"/>
    <w:rsid w:val="004C557E"/>
    <w:rsid w:val="00560959"/>
    <w:rsid w:val="00573C31"/>
    <w:rsid w:val="005D4CD6"/>
    <w:rsid w:val="005F0A72"/>
    <w:rsid w:val="006108D8"/>
    <w:rsid w:val="00616F79"/>
    <w:rsid w:val="00645597"/>
    <w:rsid w:val="006533D9"/>
    <w:rsid w:val="006E1944"/>
    <w:rsid w:val="00772C73"/>
    <w:rsid w:val="007B1D6D"/>
    <w:rsid w:val="007B5FF6"/>
    <w:rsid w:val="007D3C6F"/>
    <w:rsid w:val="007D59F2"/>
    <w:rsid w:val="007E5182"/>
    <w:rsid w:val="00832225"/>
    <w:rsid w:val="0086702C"/>
    <w:rsid w:val="008A69B0"/>
    <w:rsid w:val="008D0189"/>
    <w:rsid w:val="008D0C16"/>
    <w:rsid w:val="00901C7F"/>
    <w:rsid w:val="009052DD"/>
    <w:rsid w:val="0093676C"/>
    <w:rsid w:val="009C2B52"/>
    <w:rsid w:val="00A45819"/>
    <w:rsid w:val="00A504B5"/>
    <w:rsid w:val="00AD33EA"/>
    <w:rsid w:val="00B11E51"/>
    <w:rsid w:val="00B73C8E"/>
    <w:rsid w:val="00BE7B9A"/>
    <w:rsid w:val="00C75073"/>
    <w:rsid w:val="00C92600"/>
    <w:rsid w:val="00CC70B0"/>
    <w:rsid w:val="00CE218D"/>
    <w:rsid w:val="00CF374F"/>
    <w:rsid w:val="00D31557"/>
    <w:rsid w:val="00D345BA"/>
    <w:rsid w:val="00D37B9D"/>
    <w:rsid w:val="00D67F73"/>
    <w:rsid w:val="00DB7110"/>
    <w:rsid w:val="00DE7083"/>
    <w:rsid w:val="00E03DA9"/>
    <w:rsid w:val="00E0718D"/>
    <w:rsid w:val="00E57145"/>
    <w:rsid w:val="00EB1FBA"/>
    <w:rsid w:val="00EE5471"/>
    <w:rsid w:val="00F624BA"/>
    <w:rsid w:val="00FB726A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92B4-D9D7-4E97-BB53-BFAB5E0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5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C7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597"/>
    <w:pPr>
      <w:ind w:left="720"/>
      <w:contextualSpacing/>
    </w:pPr>
  </w:style>
  <w:style w:type="table" w:styleId="a4">
    <w:name w:val="Table Grid"/>
    <w:basedOn w:val="a1"/>
    <w:uiPriority w:val="39"/>
    <w:rsid w:val="0029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7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unhideWhenUsed/>
    <w:rsid w:val="00D3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Венера Фанитовна</dc:creator>
  <cp:keywords/>
  <dc:description/>
  <cp:lastModifiedBy>Резяпова Адэля Геннадьевна</cp:lastModifiedBy>
  <cp:revision>12</cp:revision>
  <cp:lastPrinted>2017-04-26T06:55:00Z</cp:lastPrinted>
  <dcterms:created xsi:type="dcterms:W3CDTF">2017-04-26T06:37:00Z</dcterms:created>
  <dcterms:modified xsi:type="dcterms:W3CDTF">2017-07-14T05:20:00Z</dcterms:modified>
</cp:coreProperties>
</file>